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b/>
          <w:b/>
          <w:bCs/>
        </w:rPr>
      </w:pPr>
      <w:r>
        <w:rPr>
          <w:b/>
          <w:bCs/>
        </w:rPr>
        <w:t>ESP.0717.4.17.2021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Specyfikacja załącznik  2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 część 1 elektronika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poz. 1</w:t>
      </w:r>
    </w:p>
    <w:tbl>
      <w:tblPr>
        <w:tblStyle w:val="Tabela-Siatka"/>
        <w:tblW w:w="1338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11169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Nazwa</w:t>
            </w:r>
          </w:p>
        </w:tc>
        <w:tc>
          <w:tcPr>
            <w:tcW w:w="11169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Zastosowanie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będzie wykorzystywany dla potrzeb laboratorium druku 3D,  aplikacji edukacyjnych, , dostępu do Internetu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Matryca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typu notebook z ekranem 15,6" o rozdzielczości FHD (1920 x 1080) z podświetleniem LED matryca typu IPS,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Procesor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Procesor osiągający wynik min. 10800 punktów w teście PassMark CPU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RAM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16 GB DDR4 możliwość rozbudowy do min 64GB, Szybkość min 3200MHz jeden slot wolny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masowa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512 GB SSD NVMe PCI 3.0x4, fabryczna możliwość instalacji drugiego dysku 2,5”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color w:val="00B050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z procesorem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 – wydajność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Wydajność osiągająca wynik min. 2800 punktów w teście PassMark Videocard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Multimedia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Bateria i zasilanie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Bateria min. 60 Wh, Zasilacz o mocy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80W.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Waga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Waga komputera z baterią  nie większa niż 1,7 kg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Obudowa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Obudowa notebooka wzmocniona, szkielet i zawiasy notebooka wykonany z wzmacnianego metalu.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Klawiatura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Podświetlana klawiatura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BIOS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Bezpieczeństwo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Dedykowany układ szyfrujący TPM 2.0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Certyfikaty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bookmarkStart w:id="0" w:name="__DdeLink__2460_1279102988"/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Energy Star min. 6.0 lub TCO dla oferowanego modelu.</w:t>
            </w:r>
            <w:bookmarkEnd w:id="0"/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System operacyjny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r) wbudowany system pomocy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postaci.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Wymagania dodatkowe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Wbudowane porty i złącza: HDMI, RJ-45 (10/100/1000), min. min. 2 port USB 3.2, czytnik kart microSD, współdzielone złącze słuchawkowe stereo i złącze mikrofonowe, złącze zasilania ( zasilacz nie może zajmować portów USB 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w postaci wewnętrznego modułu mini-PCI Express karta sieci WLAN 802.11AC</w:t>
            </w:r>
            <w:r>
              <w:rPr>
                <w:rFonts w:eastAsia="Calibri" w:cs="Tahoma" w:ascii="Tahoma" w:hAnsi="Tahoma"/>
                <w:color w:val="00B050"/>
                <w:kern w:val="0"/>
                <w:sz w:val="20"/>
                <w:szCs w:val="20"/>
                <w:lang w:val="pl-PL" w:eastAsia="en-US" w:bidi="ar-SA"/>
              </w:rPr>
              <w:t>,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 moduł bluetooth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Klawiatura (układ US -QWERTY) z wydzieloną klawiaturą numeryczną, t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Złącza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Złącze Thunderbold , </w:t>
            </w:r>
            <w:r>
              <w:rPr>
                <w:rFonts w:eastAsia="Calibri"/>
                <w:kern w:val="0"/>
                <w:sz w:val="22"/>
                <w:lang w:val="pl-PL" w:eastAsia="en-US" w:bidi="ar-SA"/>
              </w:rPr>
              <w:t>USB-C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Czytnik linii papilarnych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Komunikacja bezprzewodowa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802.11a/b/g/n/ac/ax, Bluetooth 5.1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Warunki gwarancji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5-letnia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  <w:r>
        <w:br w:type="page"/>
      </w:r>
    </w:p>
    <w:p>
      <w:pPr>
        <w:pStyle w:val="Normal"/>
        <w:rPr>
          <w:rFonts w:ascii="Calibri" w:hAnsi="Calibri" w:eastAsia="Calibri" w:cs="Calibri" w:cstheme="minorHAnsi"/>
          <w:color w:val="auto"/>
          <w:kern w:val="0"/>
          <w:sz w:val="40"/>
          <w:szCs w:val="20"/>
          <w:lang w:val="pl-PL" w:eastAsia="en-US" w:bidi="ar-SA"/>
        </w:rPr>
      </w:pPr>
      <w:r>
        <w:rPr>
          <w:rFonts w:eastAsia="Calibri" w:cs="Calibri" w:cstheme="minorHAnsi"/>
          <w:color w:val="auto"/>
          <w:kern w:val="0"/>
          <w:sz w:val="40"/>
          <w:szCs w:val="20"/>
          <w:lang w:val="pl-PL" w:eastAsia="en-US" w:bidi="ar-SA"/>
        </w:rPr>
        <w:t>poz. 2</w:t>
      </w:r>
    </w:p>
    <w:p>
      <w:pPr>
        <w:pStyle w:val="Normal"/>
        <w:rPr/>
      </w:pPr>
      <w:r>
        <w:rPr/>
      </w:r>
    </w:p>
    <w:tbl>
      <w:tblPr>
        <w:tblStyle w:val="Tabela-Siatka"/>
        <w:tblW w:w="935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7139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Nazwa</w:t>
            </w:r>
          </w:p>
        </w:tc>
        <w:tc>
          <w:tcPr>
            <w:tcW w:w="7139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Zastosowanie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będzie wykorzystywany dla potrzeb obróbki grafiki,  aplikacji edukacyjnych, , dostępu do Internetu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Matryca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typu notebook z ekranem 15,6" o rozdzielczości FHD (1920 x 1080) z podświetleniem LED matryca typu WVA,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Procesor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Procesor osiągający wynik min. 12200 punktów w teście PassMark CPU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RAM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32 GB DDR4 możliwość rozbudowy do min 64GB, Szybkość min 2900MHz jeden slot wolny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masowa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512 GB SSD NVMe PCI 3.0x4, fabryczna możliwość instalacji drugiego dysku 2,5”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color w:val="00B050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Dodatkowa karta graficzna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 – wydajność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Wydajność osiągająca wynik min. 2500 punktów w teście PassMark Videocard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karty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Min 2 GB GDDR5 SDRAM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Multimedia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Bateria i zasilanie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Bateria min. 60 Wh, Zasilacz o mocy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85W.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Waga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Waga komputera z baterią  nie większa niż 2 kg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Obudowa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Obudowa notebooka wzmocniona, szkielet i zawiasy notebooka wykonany z wzmacnianego metalu.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Klawiatura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Podświetlana klawiatura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BIOS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Bezpieczeństwo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Dedykowany układ szyfrujący TPM 2.0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Certyfikaty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Energy Star min. 6.0 lub TCO dla oferowanego modelu.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System operacyjny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r) wbudowany system pomocy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postaci.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Wymagania dodatkowe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Wbudowane porty i złącza: HDMI, RJ-45 (10/100/1000), min. min. 2 port USB 3.2, czytnik kart microSD, współdzielone złącze słuchawkowe stereo i złącze mikrofonowe, złącze zasilania ( zasilacz nie może zajmować portów USB 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w postaci wewnętrznego modułu mini-PCI Express karta sieci WLAN 802.11AC</w:t>
            </w:r>
            <w:r>
              <w:rPr>
                <w:rFonts w:eastAsia="Calibri" w:cs="Tahoma" w:ascii="Tahoma" w:hAnsi="Tahoma"/>
                <w:color w:val="00B050"/>
                <w:kern w:val="0"/>
                <w:sz w:val="20"/>
                <w:szCs w:val="20"/>
                <w:lang w:val="pl-PL" w:eastAsia="en-US" w:bidi="ar-SA"/>
              </w:rPr>
              <w:t>,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 moduł bluetooth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Klawiatura (układ US -QWERTY) z wydzieloną klawiaturą numeryczną, t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Złącza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Złącze Thunderbold , </w:t>
            </w:r>
            <w:r>
              <w:rPr>
                <w:rFonts w:eastAsia="Calibri"/>
                <w:kern w:val="0"/>
                <w:sz w:val="22"/>
                <w:lang w:val="pl-PL" w:eastAsia="en-US" w:bidi="ar-SA"/>
              </w:rPr>
              <w:t>USB-C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Czytnik linii papilarnych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Komunikacja bezprzewodowa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802.11a/b/g/n/ac/ax, Bluetooth 5.1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Warunki gwarancji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5-letnia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>
          <w:rFonts w:cs="Calibri" w:cstheme="minorHAnsi"/>
          <w:sz w:val="4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LibreOffice/7.2.0.4$Windows_X86_64 LibreOffice_project/9a9c6381e3f7a62afc1329bd359cc48accb6435b</Application>
  <AppVersion>15.0000</AppVersion>
  <Pages>9</Pages>
  <Words>2361</Words>
  <Characters>16148</Characters>
  <CharactersWithSpaces>18318</CharactersWithSpaces>
  <Paragraphs>217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2021-12-13T12:26:18Z</cp:lastPrinted>
  <dcterms:modified xsi:type="dcterms:W3CDTF">2022-01-03T12:53:24Z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